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3D2E7C" w:rsidP="003D2E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3D2E7C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CAPAS DE ABSTRACCIÓN DE LOS DATOS</w:t>
      </w:r>
      <w:r>
        <w:rPr>
          <w:rFonts w:ascii="Franklin Gothic Medium" w:hAnsi="Franklin Gothic Medium" w:cs="Times New Roman"/>
          <w:b/>
          <w:color w:val="7030A0"/>
          <w:sz w:val="24"/>
          <w:szCs w:val="24"/>
        </w:rPr>
        <w:t xml:space="preserve">: </w:t>
      </w:r>
      <w:r w:rsidRPr="003D2E7C">
        <w:rPr>
          <w:rFonts w:ascii="Tahoma" w:hAnsi="Tahoma" w:cs="Tahoma"/>
          <w:color w:val="008E40"/>
        </w:rPr>
        <w:t>Las bases de datos son únicas por su capacidad para presentar a varios usuarios vistas propias</w:t>
      </w:r>
      <w:r w:rsidRPr="003D2E7C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3D2E7C">
        <w:rPr>
          <w:rFonts w:ascii="Tahoma" w:hAnsi="Tahoma" w:cs="Tahoma"/>
          <w:color w:val="008E40"/>
        </w:rPr>
        <w:t>y diferentes de los datos, al tiempo que conservan una sola vez los datos relacionados. En</w:t>
      </w:r>
      <w:r w:rsidRPr="003D2E7C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3D2E7C">
        <w:rPr>
          <w:rFonts w:ascii="Tahoma" w:hAnsi="Tahoma" w:cs="Tahoma"/>
          <w:color w:val="008E40"/>
        </w:rPr>
        <w:t xml:space="preserve">conjunto, se denominan </w:t>
      </w:r>
      <w:r w:rsidRPr="003D2E7C">
        <w:rPr>
          <w:rFonts w:ascii="Tahoma" w:hAnsi="Tahoma" w:cs="Tahoma"/>
          <w:i/>
          <w:iCs/>
          <w:color w:val="008E40"/>
        </w:rPr>
        <w:t>vistas de usuarios</w:t>
      </w:r>
      <w:r w:rsidRPr="003D2E7C">
        <w:rPr>
          <w:rFonts w:ascii="Tahoma" w:hAnsi="Tahoma" w:cs="Tahoma"/>
          <w:color w:val="008E40"/>
        </w:rPr>
        <w:t xml:space="preserve">. En este contexto, un </w:t>
      </w:r>
      <w:r w:rsidRPr="003D2E7C">
        <w:rPr>
          <w:rFonts w:ascii="Tahoma" w:hAnsi="Tahoma" w:cs="Tahoma"/>
          <w:i/>
          <w:iCs/>
          <w:color w:val="008E40"/>
        </w:rPr>
        <w:t>usuario</w:t>
      </w:r>
      <w:r w:rsidRPr="003D2E7C">
        <w:rPr>
          <w:rFonts w:ascii="Tahoma" w:hAnsi="Tahoma" w:cs="Tahoma"/>
          <w:color w:val="008E40"/>
        </w:rPr>
        <w:t xml:space="preserve"> es cualquier persona</w:t>
      </w:r>
      <w:r w:rsidRPr="003D2E7C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3D2E7C">
        <w:rPr>
          <w:rFonts w:ascii="Tahoma" w:hAnsi="Tahoma" w:cs="Tahoma"/>
          <w:color w:val="008E40"/>
        </w:rPr>
        <w:t>o aplicación que se registra en la base de datos con el propósito de guardar datos, recuperarlos,</w:t>
      </w:r>
      <w:r w:rsidRPr="003D2E7C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3D2E7C">
        <w:rPr>
          <w:rFonts w:ascii="Tahoma" w:hAnsi="Tahoma" w:cs="Tahoma"/>
          <w:color w:val="008E40"/>
        </w:rPr>
        <w:t>o ambas opciones.</w:t>
      </w:r>
    </w:p>
    <w:p w:rsidR="003D2E7C" w:rsidRDefault="003D2E7C" w:rsidP="003D2E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3D2E7C" w:rsidRPr="00114E86" w:rsidRDefault="003D2E7C" w:rsidP="003D2E7C">
      <w:pPr>
        <w:jc w:val="center"/>
        <w:rPr>
          <w:rFonts w:ascii="Franklin Gothic Medium" w:hAnsi="Franklin Gothic Medium"/>
          <w:b/>
          <w:color w:val="7030A0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114E86">
            <w:rPr>
              <w:rFonts w:ascii="Franklin Gothic Medium" w:hAnsi="Franklin Gothic Medium"/>
              <w:b/>
              <w:color w:val="7030A0"/>
            </w:rPr>
            <w:fldChar w:fldCharType="begin"/>
          </w:r>
          <w:r>
            <w:rPr>
              <w:rFonts w:ascii="Franklin Gothic Medium" w:hAnsi="Franklin Gothic Medium"/>
              <w:b/>
              <w:color w:val="7030A0"/>
            </w:rPr>
            <w:instrText xml:space="preserve">CITATION Sil021 \p 6 \l 2058 </w:instrText>
          </w:r>
          <w:r w:rsidRPr="00114E86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3D2E7C">
            <w:rPr>
              <w:rFonts w:ascii="Franklin Gothic Medium" w:hAnsi="Franklin Gothic Medium"/>
              <w:noProof/>
              <w:color w:val="7030A0"/>
            </w:rPr>
            <w:t>(Andy Oppel, 2004, pág. 6)</w:t>
          </w:r>
          <w:r w:rsidRPr="00114E86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3D2E7C" w:rsidRPr="003D2E7C" w:rsidRDefault="003D2E7C" w:rsidP="003D2E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8E40"/>
          <w:sz w:val="24"/>
          <w:szCs w:val="24"/>
        </w:rPr>
      </w:pPr>
      <w:bookmarkStart w:id="0" w:name="_GoBack"/>
      <w:bookmarkEnd w:id="0"/>
    </w:p>
    <w:sectPr w:rsidR="003D2E7C" w:rsidRPr="003D2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C"/>
    <w:rsid w:val="003D2E7C"/>
    <w:rsid w:val="00C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4122-45B1-41E7-9C38-FA4C8CD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BC2F7CC9-3968-437C-A450-67FCFC76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2019-02-09T05:17:00Z</dcterms:created>
  <dcterms:modified xsi:type="dcterms:W3CDTF">2019-02-09T05:20:00Z</dcterms:modified>
</cp:coreProperties>
</file>