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87D" w:rsidRDefault="00F003D2" w:rsidP="00F003D2">
      <w:pPr>
        <w:spacing w:after="0" w:line="240" w:lineRule="auto"/>
        <w:jc w:val="both"/>
        <w:rPr>
          <w:rFonts w:ascii="Tahoma" w:hAnsi="Tahoma" w:cs="Tahoma"/>
          <w:color w:val="008E40"/>
        </w:rPr>
      </w:pPr>
      <w:bookmarkStart w:id="0" w:name="_GoBack"/>
      <w:r w:rsidRPr="00A275C1">
        <w:rPr>
          <w:rFonts w:ascii="Franklin Gothic Medium" w:hAnsi="Franklin Gothic Medium" w:cs="Franklin Gothic Medium"/>
          <w:b/>
          <w:color w:val="7030A0"/>
          <w:sz w:val="24"/>
          <w:szCs w:val="24"/>
        </w:rPr>
        <w:t>OBJETO DE</w:t>
      </w:r>
      <w:r w:rsidRPr="00A275C1">
        <w:rPr>
          <w:rFonts w:ascii="Franklin Gothic Medium" w:hAnsi="Franklin Gothic Medium" w:cs="Franklin Gothic Medium"/>
          <w:b/>
          <w:color w:val="7030A0"/>
          <w:sz w:val="24"/>
          <w:szCs w:val="24"/>
        </w:rPr>
        <w:t xml:space="preserve"> </w:t>
      </w:r>
      <w:r w:rsidRPr="00A275C1">
        <w:rPr>
          <w:rFonts w:ascii="Franklin Gothic Medium" w:hAnsi="Franklin Gothic Medium" w:cs="Franklin Gothic Medium"/>
          <w:b/>
          <w:color w:val="7030A0"/>
          <w:sz w:val="24"/>
          <w:szCs w:val="24"/>
        </w:rPr>
        <w:t>BASE DE DATOS:</w:t>
      </w:r>
      <w:r w:rsidRPr="00F003D2">
        <w:rPr>
          <w:rFonts w:ascii="Franklin Gothic Medium" w:hAnsi="Franklin Gothic Medium" w:cs="Franklin Gothic Medium"/>
          <w:color w:val="7030A0"/>
          <w:sz w:val="28"/>
          <w:szCs w:val="28"/>
        </w:rPr>
        <w:t xml:space="preserve"> </w:t>
      </w:r>
      <w:bookmarkEnd w:id="0"/>
      <w:r w:rsidRPr="00F003D2">
        <w:rPr>
          <w:rFonts w:ascii="Tahoma" w:hAnsi="Tahoma" w:cs="Tahoma"/>
          <w:color w:val="008E40"/>
        </w:rPr>
        <w:t xml:space="preserve">Un </w:t>
      </w:r>
      <w:r w:rsidRPr="00F003D2">
        <w:rPr>
          <w:rFonts w:ascii="Tahoma" w:hAnsi="Tahoma" w:cs="Tahoma"/>
          <w:i/>
          <w:iCs/>
          <w:color w:val="008E40"/>
        </w:rPr>
        <w:t>objeto de base de datos</w:t>
      </w:r>
      <w:r w:rsidRPr="00F003D2">
        <w:rPr>
          <w:rFonts w:ascii="Tahoma" w:hAnsi="Tahoma" w:cs="Tahoma"/>
          <w:color w:val="008E40"/>
        </w:rPr>
        <w:t xml:space="preserve"> es una estructura de datos con nombre que se guarda en una</w:t>
      </w:r>
      <w:r w:rsidRPr="00F003D2">
        <w:rPr>
          <w:rFonts w:ascii="Tahoma" w:hAnsi="Tahoma" w:cs="Tahoma"/>
          <w:color w:val="008E40"/>
          <w:sz w:val="40"/>
          <w:szCs w:val="40"/>
        </w:rPr>
        <w:t xml:space="preserve"> </w:t>
      </w:r>
      <w:r w:rsidRPr="00F003D2">
        <w:rPr>
          <w:rFonts w:ascii="Tahoma" w:hAnsi="Tahoma" w:cs="Tahoma"/>
          <w:color w:val="008E40"/>
        </w:rPr>
        <w:t>base de datos. Los tipos específicos de objetos permitidos varían de un vendedor a otro, y de un modelo a otro.</w:t>
      </w:r>
    </w:p>
    <w:p w:rsidR="00C35930" w:rsidRDefault="00C35930" w:rsidP="00F003D2">
      <w:pPr>
        <w:spacing w:after="0" w:line="240" w:lineRule="auto"/>
        <w:jc w:val="both"/>
        <w:rPr>
          <w:rFonts w:ascii="Tahoma" w:hAnsi="Tahoma" w:cs="Tahoma"/>
          <w:color w:val="008E40"/>
        </w:rPr>
      </w:pPr>
    </w:p>
    <w:p w:rsidR="00C35930" w:rsidRDefault="00C35930" w:rsidP="00F003D2">
      <w:pPr>
        <w:spacing w:after="0" w:line="240" w:lineRule="auto"/>
        <w:jc w:val="both"/>
        <w:rPr>
          <w:rFonts w:ascii="Tahoma" w:hAnsi="Tahoma" w:cs="Tahoma"/>
          <w:color w:val="008E40"/>
        </w:rPr>
      </w:pPr>
    </w:p>
    <w:p w:rsidR="00C35930" w:rsidRDefault="00C35930" w:rsidP="00F003D2">
      <w:pPr>
        <w:spacing w:after="0" w:line="240" w:lineRule="auto"/>
        <w:jc w:val="both"/>
        <w:rPr>
          <w:rFonts w:ascii="Tahoma" w:hAnsi="Tahoma" w:cs="Tahoma"/>
          <w:color w:val="008E40"/>
        </w:rPr>
      </w:pPr>
    </w:p>
    <w:p w:rsidR="00C35930" w:rsidRPr="001C528A" w:rsidRDefault="00C35930" w:rsidP="00C35930">
      <w:pPr>
        <w:jc w:val="center"/>
        <w:rPr>
          <w:rFonts w:ascii="Franklin Gothic Medium" w:hAnsi="Franklin Gothic Medium"/>
          <w:b/>
          <w:color w:val="7030A0"/>
        </w:rPr>
      </w:pPr>
      <w:sdt>
        <w:sdtPr>
          <w:rPr>
            <w:rFonts w:ascii="Franklin Gothic Medium" w:hAnsi="Franklin Gothic Medium"/>
            <w:b/>
            <w:color w:val="7030A0"/>
          </w:rPr>
          <w:id w:val="-1562168524"/>
          <w:citation/>
        </w:sdtPr>
        <w:sdtContent>
          <w:r w:rsidRPr="001C528A">
            <w:rPr>
              <w:rFonts w:ascii="Franklin Gothic Medium" w:hAnsi="Franklin Gothic Medium"/>
              <w:b/>
              <w:color w:val="7030A0"/>
            </w:rPr>
            <w:fldChar w:fldCharType="begin"/>
          </w:r>
          <w:r w:rsidRPr="001C528A">
            <w:rPr>
              <w:rFonts w:ascii="Franklin Gothic Medium" w:hAnsi="Franklin Gothic Medium"/>
              <w:b/>
              <w:color w:val="7030A0"/>
            </w:rPr>
            <w:instrText xml:space="preserve">CITATION Sil021 \p 4 \l 2058 </w:instrText>
          </w:r>
          <w:r w:rsidRPr="001C528A">
            <w:rPr>
              <w:rFonts w:ascii="Franklin Gothic Medium" w:hAnsi="Franklin Gothic Medium"/>
              <w:b/>
              <w:color w:val="7030A0"/>
            </w:rPr>
            <w:fldChar w:fldCharType="separate"/>
          </w:r>
          <w:r w:rsidRPr="001C528A">
            <w:rPr>
              <w:rFonts w:ascii="Franklin Gothic Medium" w:hAnsi="Franklin Gothic Medium"/>
              <w:b/>
              <w:noProof/>
              <w:color w:val="7030A0"/>
            </w:rPr>
            <w:t>(Andy Oppel, 2004, pág. 4)</w:t>
          </w:r>
          <w:r w:rsidRPr="001C528A">
            <w:rPr>
              <w:rFonts w:ascii="Franklin Gothic Medium" w:hAnsi="Franklin Gothic Medium"/>
              <w:b/>
              <w:color w:val="7030A0"/>
            </w:rPr>
            <w:fldChar w:fldCharType="end"/>
          </w:r>
        </w:sdtContent>
      </w:sdt>
    </w:p>
    <w:p w:rsidR="00C35930" w:rsidRPr="00F003D2" w:rsidRDefault="00C35930" w:rsidP="00F003D2">
      <w:pPr>
        <w:spacing w:after="0" w:line="240" w:lineRule="auto"/>
        <w:jc w:val="both"/>
        <w:rPr>
          <w:rFonts w:ascii="Tahoma" w:hAnsi="Tahoma" w:cs="Tahoma"/>
          <w:color w:val="008E40"/>
          <w:sz w:val="40"/>
          <w:szCs w:val="40"/>
        </w:rPr>
      </w:pPr>
    </w:p>
    <w:sectPr w:rsidR="00C35930" w:rsidRPr="00F003D2" w:rsidSect="00F003D2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3D2"/>
    <w:rsid w:val="00A275C1"/>
    <w:rsid w:val="00C35930"/>
    <w:rsid w:val="00C4287D"/>
    <w:rsid w:val="00F0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BF3D64-2A33-4F3B-92AA-333848896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Sil021</b:Tag>
    <b:SourceType>Book</b:SourceType>
    <b:Guid>{17B83028-838A-4C35-8431-5F237E40B167}</b:Guid>
    <b:Author>
      <b:Author>
        <b:NameList>
          <b:Person>
            <b:Last>Andy Oppel</b:Last>
          </b:Person>
        </b:NameList>
      </b:Author>
    </b:Author>
    <b:Title>Fundamentos de Bases de Datos</b:Title>
    <b:Year>2004</b:Year>
    <b:RefOrder>1</b:RefOrder>
  </b:Source>
</b:Sources>
</file>

<file path=customXml/itemProps1.xml><?xml version="1.0" encoding="utf-8"?>
<ds:datastoreItem xmlns:ds="http://schemas.openxmlformats.org/officeDocument/2006/customXml" ds:itemID="{FCE46CC9-A4F0-4025-B264-D935C1B9D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244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Lanix</dc:creator>
  <cp:keywords/>
  <dc:description/>
  <cp:lastModifiedBy>Lanix</cp:lastModifiedBy>
  <cp:revision>3</cp:revision>
  <dcterms:created xsi:type="dcterms:W3CDTF">2019-02-09T04:53:00Z</dcterms:created>
  <dcterms:modified xsi:type="dcterms:W3CDTF">2019-02-09T05:10:00Z</dcterms:modified>
</cp:coreProperties>
</file>