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04" w:rsidRDefault="00AB60DE" w:rsidP="00865EFD">
      <w:pPr>
        <w:autoSpaceDE w:val="0"/>
        <w:autoSpaceDN w:val="0"/>
        <w:adjustRightInd w:val="0"/>
        <w:spacing w:after="0" w:line="240" w:lineRule="auto"/>
        <w:jc w:val="both"/>
        <w:rPr>
          <w:rFonts w:ascii="MinionPro-Regular" w:hAnsi="MinionPro-Regular" w:cs="MinionPro-Regular"/>
          <w:sz w:val="21"/>
          <w:szCs w:val="21"/>
        </w:rPr>
      </w:pPr>
      <w:r>
        <w:rPr>
          <w:rFonts w:ascii="MinionPro-Regular" w:hAnsi="MinionPro-Regular" w:cs="MinionPro-Regular"/>
          <w:sz w:val="21"/>
          <w:szCs w:val="21"/>
        </w:rPr>
        <w:t>Restricciones</w:t>
      </w:r>
    </w:p>
    <w:p w:rsidR="00865EFD" w:rsidRDefault="00865EFD" w:rsidP="00865EFD">
      <w:pPr>
        <w:autoSpaceDE w:val="0"/>
        <w:autoSpaceDN w:val="0"/>
        <w:adjustRightInd w:val="0"/>
        <w:spacing w:after="0" w:line="240" w:lineRule="auto"/>
        <w:jc w:val="both"/>
        <w:rPr>
          <w:rFonts w:ascii="MinionPro-Regular" w:hAnsi="MinionPro-Regular" w:cs="MinionPro-Regular"/>
          <w:sz w:val="21"/>
          <w:szCs w:val="21"/>
        </w:rPr>
      </w:pPr>
      <w:bookmarkStart w:id="0" w:name="_GoBack"/>
      <w:bookmarkEnd w:id="0"/>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 xml:space="preserve">Las restricciones de los datos se imponen para asegurarnos que los datos cumplen con una serie de condiciones predefinidas para cada tabla. Estas restricciones ayudan a conseguir la integridad de referencia: todas las referencias dentro de </w:t>
      </w:r>
      <w:r w:rsidR="00865EFD" w:rsidRPr="00AB60DE">
        <w:rPr>
          <w:rFonts w:ascii="Georgia" w:eastAsia="Times New Roman" w:hAnsi="Georgia" w:cs="Arial"/>
          <w:color w:val="0D0D0D"/>
          <w:sz w:val="20"/>
          <w:szCs w:val="20"/>
          <w:lang w:eastAsia="es-MX"/>
        </w:rPr>
        <w:t>unos BD</w:t>
      </w:r>
      <w:r w:rsidRPr="00AB60DE">
        <w:rPr>
          <w:rFonts w:ascii="Georgia" w:eastAsia="Times New Roman" w:hAnsi="Georgia" w:cs="Arial"/>
          <w:color w:val="0D0D0D"/>
          <w:sz w:val="20"/>
          <w:szCs w:val="20"/>
          <w:lang w:eastAsia="es-MX"/>
        </w:rPr>
        <w:t xml:space="preserve"> son válidas y todas las restricciones se han cumplid</w:t>
      </w:r>
      <w:r w:rsidRPr="00AB60DE">
        <w:rPr>
          <w:rFonts w:ascii="Georgia" w:eastAsia="Times New Roman" w:hAnsi="Georgia" w:cs="Arial"/>
          <w:color w:val="444444"/>
          <w:sz w:val="20"/>
          <w:szCs w:val="20"/>
          <w:lang w:eastAsia="es-MX"/>
        </w:rPr>
        <w:t>o.</w:t>
      </w: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i/>
          <w:sz w:val="20"/>
          <w:szCs w:val="20"/>
          <w:lang w:eastAsia="es-MX"/>
        </w:rPr>
      </w:pPr>
      <w:r w:rsidRPr="00865EFD">
        <w:rPr>
          <w:rFonts w:ascii="Georgia" w:eastAsia="Times New Roman" w:hAnsi="Georgia" w:cs="Arial"/>
          <w:i/>
          <w:sz w:val="20"/>
          <w:szCs w:val="20"/>
          <w:lang w:eastAsia="es-MX"/>
        </w:rPr>
        <w:t xml:space="preserve">Las restricciones se van a definir acompañadas por un nombre, lo que permitirá activarlas o desactivarlas según sea el caso; o también mezcladas en </w:t>
      </w:r>
      <w:r w:rsidR="00865EFD" w:rsidRPr="00865EFD">
        <w:rPr>
          <w:rFonts w:ascii="Georgia" w:eastAsia="Times New Roman" w:hAnsi="Georgia" w:cs="Arial"/>
          <w:i/>
          <w:sz w:val="20"/>
          <w:szCs w:val="20"/>
          <w:lang w:eastAsia="es-MX"/>
        </w:rPr>
        <w:t>las definiciones</w:t>
      </w:r>
      <w:r w:rsidRPr="00865EFD">
        <w:rPr>
          <w:rFonts w:ascii="Georgia" w:eastAsia="Times New Roman" w:hAnsi="Georgia" w:cs="Arial"/>
          <w:i/>
          <w:sz w:val="20"/>
          <w:szCs w:val="20"/>
          <w:lang w:eastAsia="es-MX"/>
        </w:rPr>
        <w:t xml:space="preserve"> de las columnas de la tabla. A </w:t>
      </w:r>
      <w:r w:rsidR="00865EFD" w:rsidRPr="00865EFD">
        <w:rPr>
          <w:rFonts w:ascii="Georgia" w:eastAsia="Times New Roman" w:hAnsi="Georgia" w:cs="Arial"/>
          <w:i/>
          <w:sz w:val="20"/>
          <w:szCs w:val="20"/>
          <w:lang w:eastAsia="es-MX"/>
        </w:rPr>
        <w:t>continuación,</w:t>
      </w:r>
      <w:r w:rsidRPr="00865EFD">
        <w:rPr>
          <w:rFonts w:ascii="Georgia" w:eastAsia="Times New Roman" w:hAnsi="Georgia" w:cs="Arial"/>
          <w:i/>
          <w:sz w:val="20"/>
          <w:szCs w:val="20"/>
          <w:lang w:eastAsia="es-MX"/>
        </w:rPr>
        <w:t xml:space="preserve"> vamos a describir cada una de las restricciones mencionadas.</w:t>
      </w: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sz w:val="20"/>
          <w:szCs w:val="20"/>
          <w:lang w:eastAsia="es-MX"/>
        </w:rPr>
      </w:pPr>
      <w:r w:rsidRPr="00865EFD">
        <w:rPr>
          <w:rFonts w:ascii="Georgia" w:eastAsia="Times New Roman" w:hAnsi="Georgia" w:cs="Arial"/>
          <w:b/>
          <w:bCs/>
          <w:sz w:val="20"/>
          <w:szCs w:val="20"/>
          <w:lang w:eastAsia="es-MX"/>
        </w:rPr>
        <w:t>         NOT NULL</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Establece la obligatoriedad de que esta columna tenga un valor no nulo. Se debe especificar junto a la columna a la que afecta. Los valores nulos no ocupan espacio, y son distintos a 0 y al espacio en blanco. Hay que tener cuidado con los valores nulos en las operaciones, ya que 1 * NULL es igual a NULL.</w:t>
      </w:r>
    </w:p>
    <w:p w:rsidR="00AB60DE" w:rsidRPr="00AB60DE" w:rsidRDefault="00AB60DE" w:rsidP="00865EFD">
      <w:pPr>
        <w:spacing w:after="0" w:line="240" w:lineRule="auto"/>
        <w:rPr>
          <w:rFonts w:ascii="Arial" w:eastAsia="Times New Roman" w:hAnsi="Arial" w:cs="Arial"/>
          <w:sz w:val="20"/>
          <w:szCs w:val="20"/>
          <w:lang w:eastAsia="es-MX"/>
        </w:rPr>
      </w:pPr>
    </w:p>
    <w:p w:rsidR="00AB60DE" w:rsidRPr="00AB60DE" w:rsidRDefault="00AB60DE" w:rsidP="00865EFD">
      <w:pPr>
        <w:spacing w:after="0" w:line="240" w:lineRule="auto"/>
        <w:rPr>
          <w:rFonts w:ascii="Arial" w:eastAsia="Times New Roman" w:hAnsi="Arial" w:cs="Arial"/>
          <w:sz w:val="20"/>
          <w:szCs w:val="20"/>
          <w:lang w:eastAsia="es-MX"/>
        </w:rPr>
      </w:pPr>
      <w:r w:rsidRPr="00865EFD">
        <w:rPr>
          <w:rFonts w:ascii="Georgia" w:eastAsia="Times New Roman" w:hAnsi="Georgia" w:cs="Arial"/>
          <w:b/>
          <w:bCs/>
          <w:sz w:val="20"/>
          <w:szCs w:val="20"/>
          <w:lang w:eastAsia="es-MX"/>
        </w:rPr>
        <w:t>          UNIQUE</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Evita valores repetidos en una columna, admitiendo valores nulos. Oracle crea un índice automáticamente cuando se habilita esta restricción y lo borra al deshabilitarse.</w:t>
      </w:r>
    </w:p>
    <w:p w:rsidR="00AB60DE" w:rsidRPr="00AB60DE" w:rsidRDefault="00AB60DE" w:rsidP="00865EFD">
      <w:pPr>
        <w:spacing w:after="0" w:line="240" w:lineRule="auto"/>
        <w:rPr>
          <w:rFonts w:ascii="Arial" w:eastAsia="Times New Roman" w:hAnsi="Arial" w:cs="Arial"/>
          <w:sz w:val="20"/>
          <w:szCs w:val="20"/>
          <w:lang w:eastAsia="es-MX"/>
        </w:rPr>
      </w:pPr>
    </w:p>
    <w:p w:rsidR="00AB60DE" w:rsidRPr="00AB60DE" w:rsidRDefault="00AB60DE" w:rsidP="00865EFD">
      <w:pPr>
        <w:spacing w:after="0" w:line="240" w:lineRule="auto"/>
        <w:rPr>
          <w:rFonts w:ascii="Arial" w:eastAsia="Times New Roman" w:hAnsi="Arial" w:cs="Arial"/>
          <w:sz w:val="20"/>
          <w:szCs w:val="20"/>
          <w:lang w:eastAsia="es-MX"/>
        </w:rPr>
      </w:pPr>
      <w:r w:rsidRPr="00865EFD">
        <w:rPr>
          <w:rFonts w:ascii="Georgia" w:eastAsia="Times New Roman" w:hAnsi="Georgia" w:cs="Arial"/>
          <w:b/>
          <w:bCs/>
          <w:sz w:val="20"/>
          <w:szCs w:val="20"/>
          <w:lang w:eastAsia="es-MX"/>
        </w:rPr>
        <w:t>         DEFAULT</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Establece un valor por defecto para esa columna, si no se le asigna ninguno.</w:t>
      </w: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b/>
          <w:bCs/>
          <w:color w:val="FF0000"/>
          <w:sz w:val="20"/>
          <w:szCs w:val="20"/>
          <w:lang w:eastAsia="es-MX"/>
        </w:rPr>
        <w:t>         </w:t>
      </w:r>
      <w:r w:rsidRPr="00865EFD">
        <w:rPr>
          <w:rFonts w:ascii="Georgia" w:eastAsia="Times New Roman" w:hAnsi="Georgia" w:cs="Arial"/>
          <w:b/>
          <w:bCs/>
          <w:sz w:val="20"/>
          <w:szCs w:val="20"/>
          <w:lang w:eastAsia="es-MX"/>
        </w:rPr>
        <w:t xml:space="preserve"> CHECK</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Comprueba que se cumpla una condición determinada al rellenar esa columna. Esta condición sólo debe estar construida con columnas de esta misma tabla.</w:t>
      </w: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b/>
          <w:bCs/>
          <w:color w:val="FF0000"/>
          <w:sz w:val="20"/>
          <w:szCs w:val="20"/>
          <w:lang w:eastAsia="es-MX"/>
        </w:rPr>
        <w:t xml:space="preserve">          </w:t>
      </w:r>
      <w:r w:rsidRPr="00865EFD">
        <w:rPr>
          <w:rFonts w:ascii="Georgia" w:eastAsia="Times New Roman" w:hAnsi="Georgia" w:cs="Arial"/>
          <w:b/>
          <w:bCs/>
          <w:sz w:val="20"/>
          <w:szCs w:val="20"/>
          <w:lang w:eastAsia="es-MX"/>
        </w:rPr>
        <w:t>PRIMARY KEY</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Establece el conjunto de columnas que forman la clave primaria de esa tabla. Se comporta como única y obligatoria sin necesidad de explicitarlo. Sólo puede existir una clave primaria por tabla. Puede ser referenciada como clave ajena por otras tablas. Crea un índice automáticamente cuando se habilita o se crea esta restricción. En Oracle, los índices son construidos sobre árboles B</w:t>
      </w:r>
      <w:r w:rsidRPr="00AB60DE">
        <w:rPr>
          <w:rFonts w:ascii="Georgia" w:eastAsia="Times New Roman" w:hAnsi="Georgia" w:cs="Arial"/>
          <w:color w:val="0D0D0D"/>
          <w:sz w:val="20"/>
          <w:szCs w:val="20"/>
          <w:vertAlign w:val="superscript"/>
          <w:lang w:eastAsia="es-MX"/>
        </w:rPr>
        <w:t>+</w:t>
      </w:r>
      <w:r w:rsidRPr="00AB60DE">
        <w:rPr>
          <w:rFonts w:ascii="Georgia" w:eastAsia="Times New Roman" w:hAnsi="Georgia" w:cs="Arial"/>
          <w:color w:val="0D0D0D"/>
          <w:sz w:val="20"/>
          <w:szCs w:val="20"/>
          <w:lang w:eastAsia="es-MX"/>
        </w:rPr>
        <w:t>.</w:t>
      </w:r>
    </w:p>
    <w:p w:rsidR="00AB60DE" w:rsidRPr="00AB60DE" w:rsidRDefault="00AB60DE" w:rsidP="00865EFD">
      <w:pPr>
        <w:spacing w:after="0" w:line="240" w:lineRule="auto"/>
        <w:rPr>
          <w:rFonts w:ascii="Arial" w:eastAsia="Times New Roman" w:hAnsi="Arial" w:cs="Arial"/>
          <w:color w:val="666666"/>
          <w:sz w:val="20"/>
          <w:szCs w:val="20"/>
          <w:lang w:eastAsia="es-MX"/>
        </w:rPr>
      </w:pP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b/>
          <w:bCs/>
          <w:color w:val="FF0000"/>
          <w:sz w:val="20"/>
          <w:szCs w:val="20"/>
          <w:lang w:eastAsia="es-MX"/>
        </w:rPr>
        <w:t xml:space="preserve">          </w:t>
      </w:r>
      <w:r w:rsidRPr="00865EFD">
        <w:rPr>
          <w:rFonts w:ascii="Georgia" w:eastAsia="Times New Roman" w:hAnsi="Georgia" w:cs="Arial"/>
          <w:b/>
          <w:bCs/>
          <w:sz w:val="20"/>
          <w:szCs w:val="20"/>
          <w:lang w:eastAsia="es-MX"/>
        </w:rPr>
        <w:t>FOREIGN KEY</w:t>
      </w:r>
    </w:p>
    <w:p w:rsidR="00AB60DE" w:rsidRPr="00AB60DE" w:rsidRDefault="00AB60DE" w:rsidP="00865EFD">
      <w:pPr>
        <w:spacing w:after="0" w:line="240" w:lineRule="auto"/>
        <w:rPr>
          <w:rFonts w:ascii="Arial" w:eastAsia="Times New Roman" w:hAnsi="Arial" w:cs="Arial"/>
          <w:color w:val="666666"/>
          <w:sz w:val="20"/>
          <w:szCs w:val="20"/>
          <w:lang w:eastAsia="es-MX"/>
        </w:rPr>
      </w:pPr>
      <w:r w:rsidRPr="00AB60DE">
        <w:rPr>
          <w:rFonts w:ascii="Georgia" w:eastAsia="Times New Roman" w:hAnsi="Georgia" w:cs="Arial"/>
          <w:color w:val="0D0D0D"/>
          <w:sz w:val="20"/>
          <w:szCs w:val="20"/>
          <w:lang w:eastAsia="es-MX"/>
        </w:rPr>
        <w:t xml:space="preserve">Establece que el contenido de esta columna será uno de los valores contenidos en una columna de otra tabla maestra. Esta columna marcada como clave ajena puede ser NULL. No hay límite en el número de claves ajenas. La clave ajena puede ser otra columna de la misma tabla. Se puede forzar que cuando una fila de la tabla maestra sea borrada, </w:t>
      </w:r>
      <w:r w:rsidR="00865EFD" w:rsidRPr="00AB60DE">
        <w:rPr>
          <w:rFonts w:ascii="Georgia" w:eastAsia="Times New Roman" w:hAnsi="Georgia" w:cs="Arial"/>
          <w:color w:val="0D0D0D"/>
          <w:sz w:val="20"/>
          <w:szCs w:val="20"/>
          <w:lang w:eastAsia="es-MX"/>
        </w:rPr>
        <w:t>todas las filas de la tabla detallen</w:t>
      </w:r>
      <w:r w:rsidRPr="00AB60DE">
        <w:rPr>
          <w:rFonts w:ascii="Georgia" w:eastAsia="Times New Roman" w:hAnsi="Georgia" w:cs="Arial"/>
          <w:color w:val="0D0D0D"/>
          <w:sz w:val="20"/>
          <w:szCs w:val="20"/>
          <w:lang w:eastAsia="es-MX"/>
        </w:rPr>
        <w:t xml:space="preserve"> cuya clave ajena coincida con la clave borrada se borren también. Esto se consigue añadiendo la coletilla ON DELETE CASCADE en la definición de la clave ajena.</w:t>
      </w:r>
    </w:p>
    <w:p w:rsidR="00AB60DE" w:rsidRDefault="00AB60DE" w:rsidP="00865EFD">
      <w:pPr>
        <w:autoSpaceDE w:val="0"/>
        <w:autoSpaceDN w:val="0"/>
        <w:adjustRightInd w:val="0"/>
        <w:spacing w:after="0" w:line="240" w:lineRule="auto"/>
        <w:jc w:val="both"/>
        <w:rPr>
          <w:rFonts w:ascii="MinionPro-Regular" w:hAnsi="MinionPro-Regular" w:cs="MinionPro-Regular"/>
          <w:sz w:val="21"/>
          <w:szCs w:val="21"/>
        </w:rPr>
      </w:pPr>
    </w:p>
    <w:p w:rsidR="00F45880" w:rsidRDefault="00F45880" w:rsidP="00865EFD">
      <w:pPr>
        <w:autoSpaceDE w:val="0"/>
        <w:autoSpaceDN w:val="0"/>
        <w:adjustRightInd w:val="0"/>
        <w:spacing w:after="0" w:line="240" w:lineRule="auto"/>
        <w:jc w:val="both"/>
        <w:rPr>
          <w:rFonts w:ascii="MinionPro-Regular" w:hAnsi="MinionPro-Regular" w:cs="MinionPro-Regular"/>
          <w:sz w:val="21"/>
          <w:szCs w:val="21"/>
        </w:rPr>
      </w:pPr>
    </w:p>
    <w:p w:rsidR="00490DC5" w:rsidRPr="00490DC5" w:rsidRDefault="00865EFD" w:rsidP="00865EFD">
      <w:pPr>
        <w:autoSpaceDE w:val="0"/>
        <w:autoSpaceDN w:val="0"/>
        <w:adjustRightInd w:val="0"/>
        <w:spacing w:after="0" w:line="240" w:lineRule="auto"/>
        <w:jc w:val="both"/>
        <w:rPr>
          <w:rFonts w:ascii="Arial" w:eastAsia="Times New Roman" w:hAnsi="Arial" w:cs="Arial"/>
          <w:color w:val="333333"/>
          <w:sz w:val="21"/>
          <w:szCs w:val="21"/>
          <w:lang w:eastAsia="es-MX"/>
        </w:rPr>
      </w:pPr>
      <w:sdt>
        <w:sdtPr>
          <w:rPr>
            <w:rFonts w:ascii="Arial" w:eastAsia="Times New Roman" w:hAnsi="Arial" w:cs="Arial"/>
            <w:color w:val="333333"/>
            <w:sz w:val="21"/>
            <w:szCs w:val="21"/>
            <w:lang w:eastAsia="es-MX"/>
          </w:rPr>
          <w:id w:val="-1219742637"/>
          <w:citation/>
        </w:sdtPr>
        <w:sdtContent>
          <w:r>
            <w:rPr>
              <w:rFonts w:ascii="Arial" w:eastAsia="Times New Roman" w:hAnsi="Arial" w:cs="Arial"/>
              <w:color w:val="333333"/>
              <w:sz w:val="21"/>
              <w:szCs w:val="21"/>
              <w:lang w:eastAsia="es-MX"/>
            </w:rPr>
            <w:fldChar w:fldCharType="begin"/>
          </w:r>
          <w:r>
            <w:rPr>
              <w:rFonts w:ascii="Arial" w:eastAsia="Times New Roman" w:hAnsi="Arial" w:cs="Arial"/>
              <w:color w:val="333333"/>
              <w:sz w:val="21"/>
              <w:szCs w:val="21"/>
              <w:lang w:eastAsia="es-MX"/>
            </w:rPr>
            <w:instrText xml:space="preserve">CITATION Sha07 \p 125 \l 2058 </w:instrText>
          </w:r>
          <w:r>
            <w:rPr>
              <w:rFonts w:ascii="Arial" w:eastAsia="Times New Roman" w:hAnsi="Arial" w:cs="Arial"/>
              <w:color w:val="333333"/>
              <w:sz w:val="21"/>
              <w:szCs w:val="21"/>
              <w:lang w:eastAsia="es-MX"/>
            </w:rPr>
            <w:fldChar w:fldCharType="separate"/>
          </w:r>
          <w:r w:rsidRPr="00865EFD">
            <w:rPr>
              <w:rFonts w:ascii="Arial" w:eastAsia="Times New Roman" w:hAnsi="Arial" w:cs="Arial"/>
              <w:noProof/>
              <w:color w:val="333333"/>
              <w:sz w:val="21"/>
              <w:szCs w:val="21"/>
              <w:lang w:eastAsia="es-MX"/>
            </w:rPr>
            <w:t>(Shamkant, 2007, pág. 125)</w:t>
          </w:r>
          <w:r>
            <w:rPr>
              <w:rFonts w:ascii="Arial" w:eastAsia="Times New Roman" w:hAnsi="Arial" w:cs="Arial"/>
              <w:color w:val="333333"/>
              <w:sz w:val="21"/>
              <w:szCs w:val="21"/>
              <w:lang w:eastAsia="es-MX"/>
            </w:rPr>
            <w:fldChar w:fldCharType="end"/>
          </w:r>
        </w:sdtContent>
      </w:sdt>
    </w:p>
    <w:sectPr w:rsidR="00490DC5" w:rsidRPr="00490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04"/>
    <w:rsid w:val="00295A04"/>
    <w:rsid w:val="00490DC5"/>
    <w:rsid w:val="00494E54"/>
    <w:rsid w:val="00865EFD"/>
    <w:rsid w:val="00AB60DE"/>
    <w:rsid w:val="00EF3B13"/>
    <w:rsid w:val="00F45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2C0"/>
  <w15:chartTrackingRefBased/>
  <w15:docId w15:val="{D70BBA55-A3B6-4F10-A646-23044C59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A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458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style-span">
    <w:name w:val="apple-style-span"/>
    <w:basedOn w:val="Fuentedeprrafopredeter"/>
    <w:rsid w:val="00AB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7041">
      <w:bodyDiv w:val="1"/>
      <w:marLeft w:val="0"/>
      <w:marRight w:val="0"/>
      <w:marTop w:val="0"/>
      <w:marBottom w:val="0"/>
      <w:divBdr>
        <w:top w:val="none" w:sz="0" w:space="0" w:color="auto"/>
        <w:left w:val="none" w:sz="0" w:space="0" w:color="auto"/>
        <w:bottom w:val="none" w:sz="0" w:space="0" w:color="auto"/>
        <w:right w:val="none" w:sz="0" w:space="0" w:color="auto"/>
      </w:divBdr>
    </w:div>
    <w:div w:id="824971662">
      <w:bodyDiv w:val="1"/>
      <w:marLeft w:val="0"/>
      <w:marRight w:val="0"/>
      <w:marTop w:val="0"/>
      <w:marBottom w:val="0"/>
      <w:divBdr>
        <w:top w:val="none" w:sz="0" w:space="0" w:color="auto"/>
        <w:left w:val="none" w:sz="0" w:space="0" w:color="auto"/>
        <w:bottom w:val="none" w:sz="0" w:space="0" w:color="auto"/>
        <w:right w:val="none" w:sz="0" w:space="0" w:color="auto"/>
      </w:divBdr>
      <w:divsChild>
        <w:div w:id="1708333240">
          <w:marLeft w:val="0"/>
          <w:marRight w:val="0"/>
          <w:marTop w:val="0"/>
          <w:marBottom w:val="0"/>
          <w:divBdr>
            <w:top w:val="none" w:sz="0" w:space="0" w:color="auto"/>
            <w:left w:val="none" w:sz="0" w:space="0" w:color="auto"/>
            <w:bottom w:val="none" w:sz="0" w:space="0" w:color="auto"/>
            <w:right w:val="none" w:sz="0" w:space="0" w:color="auto"/>
          </w:divBdr>
        </w:div>
        <w:div w:id="1325402430">
          <w:marLeft w:val="0"/>
          <w:marRight w:val="0"/>
          <w:marTop w:val="0"/>
          <w:marBottom w:val="0"/>
          <w:divBdr>
            <w:top w:val="none" w:sz="0" w:space="0" w:color="auto"/>
            <w:left w:val="none" w:sz="0" w:space="0" w:color="auto"/>
            <w:bottom w:val="none" w:sz="0" w:space="0" w:color="auto"/>
            <w:right w:val="none" w:sz="0" w:space="0" w:color="auto"/>
          </w:divBdr>
        </w:div>
        <w:div w:id="236984796">
          <w:marLeft w:val="0"/>
          <w:marRight w:val="0"/>
          <w:marTop w:val="0"/>
          <w:marBottom w:val="0"/>
          <w:divBdr>
            <w:top w:val="none" w:sz="0" w:space="0" w:color="auto"/>
            <w:left w:val="none" w:sz="0" w:space="0" w:color="auto"/>
            <w:bottom w:val="none" w:sz="0" w:space="0" w:color="auto"/>
            <w:right w:val="none" w:sz="0" w:space="0" w:color="auto"/>
          </w:divBdr>
        </w:div>
        <w:div w:id="492840385">
          <w:marLeft w:val="0"/>
          <w:marRight w:val="0"/>
          <w:marTop w:val="0"/>
          <w:marBottom w:val="0"/>
          <w:divBdr>
            <w:top w:val="none" w:sz="0" w:space="0" w:color="auto"/>
            <w:left w:val="none" w:sz="0" w:space="0" w:color="auto"/>
            <w:bottom w:val="none" w:sz="0" w:space="0" w:color="auto"/>
            <w:right w:val="none" w:sz="0" w:space="0" w:color="auto"/>
          </w:divBdr>
        </w:div>
        <w:div w:id="1759325272">
          <w:marLeft w:val="0"/>
          <w:marRight w:val="0"/>
          <w:marTop w:val="0"/>
          <w:marBottom w:val="0"/>
          <w:divBdr>
            <w:top w:val="none" w:sz="0" w:space="0" w:color="auto"/>
            <w:left w:val="none" w:sz="0" w:space="0" w:color="auto"/>
            <w:bottom w:val="none" w:sz="0" w:space="0" w:color="auto"/>
            <w:right w:val="none" w:sz="0" w:space="0" w:color="auto"/>
          </w:divBdr>
        </w:div>
        <w:div w:id="1128159079">
          <w:marLeft w:val="0"/>
          <w:marRight w:val="0"/>
          <w:marTop w:val="0"/>
          <w:marBottom w:val="0"/>
          <w:divBdr>
            <w:top w:val="none" w:sz="0" w:space="0" w:color="auto"/>
            <w:left w:val="none" w:sz="0" w:space="0" w:color="auto"/>
            <w:bottom w:val="none" w:sz="0" w:space="0" w:color="auto"/>
            <w:right w:val="none" w:sz="0" w:space="0" w:color="auto"/>
          </w:divBdr>
        </w:div>
        <w:div w:id="431246144">
          <w:marLeft w:val="720"/>
          <w:marRight w:val="0"/>
          <w:marTop w:val="0"/>
          <w:marBottom w:val="0"/>
          <w:divBdr>
            <w:top w:val="none" w:sz="0" w:space="0" w:color="auto"/>
            <w:left w:val="none" w:sz="0" w:space="0" w:color="auto"/>
            <w:bottom w:val="none" w:sz="0" w:space="0" w:color="auto"/>
            <w:right w:val="none" w:sz="0" w:space="0" w:color="auto"/>
          </w:divBdr>
        </w:div>
        <w:div w:id="1765491230">
          <w:marLeft w:val="720"/>
          <w:marRight w:val="0"/>
          <w:marTop w:val="0"/>
          <w:marBottom w:val="0"/>
          <w:divBdr>
            <w:top w:val="none" w:sz="0" w:space="0" w:color="auto"/>
            <w:left w:val="none" w:sz="0" w:space="0" w:color="auto"/>
            <w:bottom w:val="none" w:sz="0" w:space="0" w:color="auto"/>
            <w:right w:val="none" w:sz="0" w:space="0" w:color="auto"/>
          </w:divBdr>
        </w:div>
        <w:div w:id="560602086">
          <w:marLeft w:val="0"/>
          <w:marRight w:val="0"/>
          <w:marTop w:val="0"/>
          <w:marBottom w:val="0"/>
          <w:divBdr>
            <w:top w:val="none" w:sz="0" w:space="0" w:color="auto"/>
            <w:left w:val="none" w:sz="0" w:space="0" w:color="auto"/>
            <w:bottom w:val="none" w:sz="0" w:space="0" w:color="auto"/>
            <w:right w:val="none" w:sz="0" w:space="0" w:color="auto"/>
          </w:divBdr>
        </w:div>
        <w:div w:id="1706367282">
          <w:marLeft w:val="720"/>
          <w:marRight w:val="0"/>
          <w:marTop w:val="0"/>
          <w:marBottom w:val="0"/>
          <w:divBdr>
            <w:top w:val="none" w:sz="0" w:space="0" w:color="auto"/>
            <w:left w:val="none" w:sz="0" w:space="0" w:color="auto"/>
            <w:bottom w:val="none" w:sz="0" w:space="0" w:color="auto"/>
            <w:right w:val="none" w:sz="0" w:space="0" w:color="auto"/>
          </w:divBdr>
        </w:div>
        <w:div w:id="470093852">
          <w:marLeft w:val="720"/>
          <w:marRight w:val="0"/>
          <w:marTop w:val="0"/>
          <w:marBottom w:val="0"/>
          <w:divBdr>
            <w:top w:val="none" w:sz="0" w:space="0" w:color="auto"/>
            <w:left w:val="none" w:sz="0" w:space="0" w:color="auto"/>
            <w:bottom w:val="none" w:sz="0" w:space="0" w:color="auto"/>
            <w:right w:val="none" w:sz="0" w:space="0" w:color="auto"/>
          </w:divBdr>
        </w:div>
        <w:div w:id="415131711">
          <w:marLeft w:val="0"/>
          <w:marRight w:val="0"/>
          <w:marTop w:val="0"/>
          <w:marBottom w:val="0"/>
          <w:divBdr>
            <w:top w:val="none" w:sz="0" w:space="0" w:color="auto"/>
            <w:left w:val="none" w:sz="0" w:space="0" w:color="auto"/>
            <w:bottom w:val="none" w:sz="0" w:space="0" w:color="auto"/>
            <w:right w:val="none" w:sz="0" w:space="0" w:color="auto"/>
          </w:divBdr>
        </w:div>
        <w:div w:id="1930699483">
          <w:marLeft w:val="720"/>
          <w:marRight w:val="0"/>
          <w:marTop w:val="0"/>
          <w:marBottom w:val="0"/>
          <w:divBdr>
            <w:top w:val="none" w:sz="0" w:space="0" w:color="auto"/>
            <w:left w:val="none" w:sz="0" w:space="0" w:color="auto"/>
            <w:bottom w:val="none" w:sz="0" w:space="0" w:color="auto"/>
            <w:right w:val="none" w:sz="0" w:space="0" w:color="auto"/>
          </w:divBdr>
        </w:div>
        <w:div w:id="881865238">
          <w:marLeft w:val="720"/>
          <w:marRight w:val="0"/>
          <w:marTop w:val="0"/>
          <w:marBottom w:val="0"/>
          <w:divBdr>
            <w:top w:val="none" w:sz="0" w:space="0" w:color="auto"/>
            <w:left w:val="none" w:sz="0" w:space="0" w:color="auto"/>
            <w:bottom w:val="none" w:sz="0" w:space="0" w:color="auto"/>
            <w:right w:val="none" w:sz="0" w:space="0" w:color="auto"/>
          </w:divBdr>
        </w:div>
        <w:div w:id="497619700">
          <w:marLeft w:val="0"/>
          <w:marRight w:val="0"/>
          <w:marTop w:val="0"/>
          <w:marBottom w:val="0"/>
          <w:divBdr>
            <w:top w:val="none" w:sz="0" w:space="0" w:color="auto"/>
            <w:left w:val="none" w:sz="0" w:space="0" w:color="auto"/>
            <w:bottom w:val="none" w:sz="0" w:space="0" w:color="auto"/>
            <w:right w:val="none" w:sz="0" w:space="0" w:color="auto"/>
          </w:divBdr>
        </w:div>
        <w:div w:id="360478363">
          <w:marLeft w:val="720"/>
          <w:marRight w:val="0"/>
          <w:marTop w:val="0"/>
          <w:marBottom w:val="0"/>
          <w:divBdr>
            <w:top w:val="none" w:sz="0" w:space="0" w:color="auto"/>
            <w:left w:val="none" w:sz="0" w:space="0" w:color="auto"/>
            <w:bottom w:val="none" w:sz="0" w:space="0" w:color="auto"/>
            <w:right w:val="none" w:sz="0" w:space="0" w:color="auto"/>
          </w:divBdr>
        </w:div>
        <w:div w:id="1026834520">
          <w:marLeft w:val="720"/>
          <w:marRight w:val="0"/>
          <w:marTop w:val="0"/>
          <w:marBottom w:val="0"/>
          <w:divBdr>
            <w:top w:val="none" w:sz="0" w:space="0" w:color="auto"/>
            <w:left w:val="none" w:sz="0" w:space="0" w:color="auto"/>
            <w:bottom w:val="none" w:sz="0" w:space="0" w:color="auto"/>
            <w:right w:val="none" w:sz="0" w:space="0" w:color="auto"/>
          </w:divBdr>
        </w:div>
        <w:div w:id="270013918">
          <w:marLeft w:val="0"/>
          <w:marRight w:val="0"/>
          <w:marTop w:val="0"/>
          <w:marBottom w:val="0"/>
          <w:divBdr>
            <w:top w:val="none" w:sz="0" w:space="0" w:color="auto"/>
            <w:left w:val="none" w:sz="0" w:space="0" w:color="auto"/>
            <w:bottom w:val="none" w:sz="0" w:space="0" w:color="auto"/>
            <w:right w:val="none" w:sz="0" w:space="0" w:color="auto"/>
          </w:divBdr>
        </w:div>
        <w:div w:id="79759945">
          <w:marLeft w:val="720"/>
          <w:marRight w:val="0"/>
          <w:marTop w:val="0"/>
          <w:marBottom w:val="0"/>
          <w:divBdr>
            <w:top w:val="none" w:sz="0" w:space="0" w:color="auto"/>
            <w:left w:val="none" w:sz="0" w:space="0" w:color="auto"/>
            <w:bottom w:val="none" w:sz="0" w:space="0" w:color="auto"/>
            <w:right w:val="none" w:sz="0" w:space="0" w:color="auto"/>
          </w:divBdr>
        </w:div>
        <w:div w:id="426343718">
          <w:marLeft w:val="720"/>
          <w:marRight w:val="0"/>
          <w:marTop w:val="0"/>
          <w:marBottom w:val="0"/>
          <w:divBdr>
            <w:top w:val="none" w:sz="0" w:space="0" w:color="auto"/>
            <w:left w:val="none" w:sz="0" w:space="0" w:color="auto"/>
            <w:bottom w:val="none" w:sz="0" w:space="0" w:color="auto"/>
            <w:right w:val="none" w:sz="0" w:space="0" w:color="auto"/>
          </w:divBdr>
        </w:div>
        <w:div w:id="1281256226">
          <w:marLeft w:val="0"/>
          <w:marRight w:val="0"/>
          <w:marTop w:val="0"/>
          <w:marBottom w:val="0"/>
          <w:divBdr>
            <w:top w:val="none" w:sz="0" w:space="0" w:color="auto"/>
            <w:left w:val="none" w:sz="0" w:space="0" w:color="auto"/>
            <w:bottom w:val="none" w:sz="0" w:space="0" w:color="auto"/>
            <w:right w:val="none" w:sz="0" w:space="0" w:color="auto"/>
          </w:divBdr>
        </w:div>
        <w:div w:id="296303571">
          <w:marLeft w:val="720"/>
          <w:marRight w:val="0"/>
          <w:marTop w:val="0"/>
          <w:marBottom w:val="0"/>
          <w:divBdr>
            <w:top w:val="none" w:sz="0" w:space="0" w:color="auto"/>
            <w:left w:val="none" w:sz="0" w:space="0" w:color="auto"/>
            <w:bottom w:val="none" w:sz="0" w:space="0" w:color="auto"/>
            <w:right w:val="none" w:sz="0" w:space="0" w:color="auto"/>
          </w:divBdr>
        </w:div>
      </w:divsChild>
    </w:div>
    <w:div w:id="828062800">
      <w:bodyDiv w:val="1"/>
      <w:marLeft w:val="0"/>
      <w:marRight w:val="0"/>
      <w:marTop w:val="0"/>
      <w:marBottom w:val="0"/>
      <w:divBdr>
        <w:top w:val="none" w:sz="0" w:space="0" w:color="auto"/>
        <w:left w:val="none" w:sz="0" w:space="0" w:color="auto"/>
        <w:bottom w:val="none" w:sz="0" w:space="0" w:color="auto"/>
        <w:right w:val="none" w:sz="0" w:space="0" w:color="auto"/>
      </w:divBdr>
    </w:div>
    <w:div w:id="1150631454">
      <w:bodyDiv w:val="1"/>
      <w:marLeft w:val="0"/>
      <w:marRight w:val="0"/>
      <w:marTop w:val="0"/>
      <w:marBottom w:val="0"/>
      <w:divBdr>
        <w:top w:val="none" w:sz="0" w:space="0" w:color="auto"/>
        <w:left w:val="none" w:sz="0" w:space="0" w:color="auto"/>
        <w:bottom w:val="none" w:sz="0" w:space="0" w:color="auto"/>
        <w:right w:val="none" w:sz="0" w:space="0" w:color="auto"/>
      </w:divBdr>
    </w:div>
    <w:div w:id="1278870681">
      <w:bodyDiv w:val="1"/>
      <w:marLeft w:val="0"/>
      <w:marRight w:val="0"/>
      <w:marTop w:val="0"/>
      <w:marBottom w:val="0"/>
      <w:divBdr>
        <w:top w:val="none" w:sz="0" w:space="0" w:color="auto"/>
        <w:left w:val="none" w:sz="0" w:space="0" w:color="auto"/>
        <w:bottom w:val="none" w:sz="0" w:space="0" w:color="auto"/>
        <w:right w:val="none" w:sz="0" w:space="0" w:color="auto"/>
      </w:divBdr>
    </w:div>
    <w:div w:id="1433891669">
      <w:bodyDiv w:val="1"/>
      <w:marLeft w:val="0"/>
      <w:marRight w:val="0"/>
      <w:marTop w:val="0"/>
      <w:marBottom w:val="0"/>
      <w:divBdr>
        <w:top w:val="none" w:sz="0" w:space="0" w:color="auto"/>
        <w:left w:val="none" w:sz="0" w:space="0" w:color="auto"/>
        <w:bottom w:val="none" w:sz="0" w:space="0" w:color="auto"/>
        <w:right w:val="none" w:sz="0" w:space="0" w:color="auto"/>
      </w:divBdr>
    </w:div>
    <w:div w:id="157273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Cat04</b:Tag>
    <b:SourceType>Book</b:SourceType>
    <b:Guid>{03E2FAAC-74A5-435A-82F2-5C2DE0EF293A}</b:Guid>
    <b:Title>Bases de datos</b:Title>
    <b:Year>2004</b:Year>
    <b:City>DF</b:City>
    <b:Publisher>McGrawill</b:Publisher>
    <b:Author>
      <b:Author>
        <b:NameList>
          <b:Person>
            <b:Last>Catherine</b:Last>
            <b:First>Ricardo</b:First>
          </b:Person>
        </b:NameList>
      </b:Author>
    </b:Author>
    <b:RefOrder>2</b:RefOrder>
  </b:Source>
  <b:Source>
    <b:Tag>Sha07</b:Tag>
    <b:SourceType>Book</b:SourceType>
    <b:Guid>{C2DF8A96-FB2B-4197-BD4B-E97671206DAB}</b:Guid>
    <b:Title>Fundamentos de sistemas de bases de datos</b:Title>
    <b:Year>2007</b:Year>
    <b:City>Madrid</b:City>
    <b:Publisher>Pearson educación</b:Publisher>
    <b:Author>
      <b:Author>
        <b:NameList>
          <b:Person>
            <b:Last>Shamkant</b:Last>
            <b:First>Navathe</b:First>
          </b:Person>
        </b:NameList>
      </b:Author>
    </b:Author>
    <b:RefOrder>1</b:RefOrder>
  </b:Source>
</b:Sources>
</file>

<file path=customXml/itemProps1.xml><?xml version="1.0" encoding="utf-8"?>
<ds:datastoreItem xmlns:ds="http://schemas.openxmlformats.org/officeDocument/2006/customXml" ds:itemID="{CD3DE725-B5B9-4B9F-8D78-30419FC2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alfredo cobos guajardo</dc:creator>
  <cp:keywords/>
  <dc:description/>
  <cp:lastModifiedBy>andres ramirez</cp:lastModifiedBy>
  <cp:revision>2</cp:revision>
  <dcterms:created xsi:type="dcterms:W3CDTF">2019-04-02T15:37:00Z</dcterms:created>
  <dcterms:modified xsi:type="dcterms:W3CDTF">2019-04-02T15:37:00Z</dcterms:modified>
</cp:coreProperties>
</file>