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53" w:rsidRPr="005236C9" w:rsidRDefault="00B77B53" w:rsidP="00B77B53">
      <w:pPr>
        <w:spacing w:line="360" w:lineRule="auto"/>
        <w:rPr>
          <w:rFonts w:ascii="Arial" w:hAnsi="Arial" w:cs="Arial"/>
        </w:rPr>
      </w:pPr>
      <w:r w:rsidRPr="005236C9">
        <w:rPr>
          <w:rFonts w:ascii="Arial" w:hAnsi="Arial" w:cs="Arial"/>
        </w:rPr>
        <w:t>Independencia lógica:</w:t>
      </w:r>
    </w:p>
    <w:p w:rsidR="00B77B53" w:rsidRPr="005236C9" w:rsidRDefault="00B77B53" w:rsidP="00B77B53">
      <w:pPr>
        <w:spacing w:line="360" w:lineRule="auto"/>
        <w:rPr>
          <w:rFonts w:ascii="Arial" w:hAnsi="Arial" w:cs="Arial"/>
        </w:rPr>
      </w:pPr>
      <w:r w:rsidRPr="005236C9">
        <w:rPr>
          <w:rFonts w:ascii="Arial" w:hAnsi="Arial" w:cs="Arial"/>
        </w:rPr>
        <w:t>“La independencia lógica es la capacidad para hacer cambios en la capa lógica sin afectar a los usuarios y procesos existentes” (</w:t>
      </w:r>
      <w:proofErr w:type="spellStart"/>
      <w:r w:rsidRPr="005236C9">
        <w:rPr>
          <w:rFonts w:ascii="Arial" w:hAnsi="Arial" w:cs="Arial"/>
        </w:rPr>
        <w:t>Oppel</w:t>
      </w:r>
      <w:proofErr w:type="spellEnd"/>
      <w:r w:rsidRPr="005236C9">
        <w:rPr>
          <w:rFonts w:ascii="Arial" w:hAnsi="Arial" w:cs="Arial"/>
        </w:rPr>
        <w:t>, 2009, pág. 10).</w:t>
      </w:r>
    </w:p>
    <w:p w:rsidR="00486845" w:rsidRDefault="00486845">
      <w:bookmarkStart w:id="0" w:name="_GoBack"/>
      <w:bookmarkEnd w:id="0"/>
    </w:p>
    <w:sectPr w:rsidR="00486845" w:rsidSect="00B77B5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3"/>
    <w:rsid w:val="00486845"/>
    <w:rsid w:val="00B77B53"/>
    <w:rsid w:val="00E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DE2A-60EA-460D-8E63-A882690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53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2</cp:revision>
  <dcterms:created xsi:type="dcterms:W3CDTF">2023-02-14T05:19:00Z</dcterms:created>
  <dcterms:modified xsi:type="dcterms:W3CDTF">2023-02-14T05:19:00Z</dcterms:modified>
</cp:coreProperties>
</file>