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AD8" w:rsidRPr="005703E6" w:rsidRDefault="00FF6AD8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Conjunto de entidades</w:t>
      </w:r>
    </w:p>
    <w:p w:rsidR="00FF6AD8" w:rsidRPr="001100BE" w:rsidRDefault="00FF6AD8" w:rsidP="005501DC"/>
    <w:p w:rsidR="00FF6AD8" w:rsidRPr="00FC229D" w:rsidRDefault="00FF6AD8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F90620">
        <w:rPr>
          <w:rFonts w:ascii="Times New Roman" w:hAnsi="Times New Roman" w:cs="Times New Roman"/>
          <w:sz w:val="24"/>
          <w:szCs w:val="24"/>
        </w:rPr>
        <w:t>Las entidades que poseen las mismas propiedades forman conjuntos de entidades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17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FF6AD8" w:rsidRDefault="00FF6AD8"/>
    <w:sectPr w:rsidR="00FF6AD8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730B3F" w:rsidP="00F2400E">
    <w:pPr>
      <w:pStyle w:val="Encabezado"/>
      <w:jc w:val="center"/>
    </w:pPr>
  </w:p>
  <w:p w:rsidR="003F3543" w:rsidRDefault="00730B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8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20203A5-2A9C-D142-8F1B-E4CC629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F6A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6AD8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2023-02-13T08:21:00Z</dcterms:created>
  <dcterms:modified xsi:type="dcterms:W3CDTF">2023-02-13T08:21:00Z</dcterms:modified>
</cp:coreProperties>
</file>