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4C4B" w14:textId="28437FD1" w:rsidR="00485CF1" w:rsidRPr="00DC4AFA" w:rsidRDefault="00FA1121">
      <w:pPr>
        <w:rPr>
          <w:b/>
          <w:bCs/>
          <w:sz w:val="24"/>
          <w:szCs w:val="24"/>
        </w:rPr>
      </w:pPr>
      <w:r w:rsidRPr="00DC4AFA">
        <w:rPr>
          <w:b/>
          <w:bCs/>
          <w:sz w:val="24"/>
          <w:szCs w:val="24"/>
        </w:rPr>
        <w:t>La</w:t>
      </w:r>
      <w:r w:rsidRPr="00DC4AFA">
        <w:rPr>
          <w:b/>
          <w:bCs/>
          <w:sz w:val="24"/>
          <w:szCs w:val="24"/>
        </w:rPr>
        <w:t>s</w:t>
      </w:r>
      <w:r w:rsidRPr="00DC4AFA">
        <w:rPr>
          <w:b/>
          <w:bCs/>
          <w:sz w:val="24"/>
          <w:szCs w:val="24"/>
        </w:rPr>
        <w:t xml:space="preserve"> normativa</w:t>
      </w:r>
      <w:r w:rsidRPr="00DC4AFA">
        <w:rPr>
          <w:b/>
          <w:bCs/>
          <w:sz w:val="24"/>
          <w:szCs w:val="24"/>
        </w:rPr>
        <w:t>s</w:t>
      </w:r>
      <w:r w:rsidRPr="00DC4AFA">
        <w:rPr>
          <w:b/>
          <w:bCs/>
          <w:sz w:val="24"/>
          <w:szCs w:val="24"/>
        </w:rPr>
        <w:t xml:space="preserve"> que aplicaría para ese contexto específico</w:t>
      </w:r>
      <w:r w:rsidRPr="00DC4AFA">
        <w:rPr>
          <w:b/>
          <w:bCs/>
          <w:sz w:val="24"/>
          <w:szCs w:val="24"/>
        </w:rPr>
        <w:t xml:space="preserve"> son las siguientes:</w:t>
      </w:r>
    </w:p>
    <w:p w14:paraId="329D9229" w14:textId="77777777" w:rsidR="00DC4AFA" w:rsidRDefault="00DC4AFA" w:rsidP="00FA1121">
      <w:pPr>
        <w:rPr>
          <w:b/>
          <w:bCs/>
          <w:sz w:val="24"/>
          <w:szCs w:val="24"/>
        </w:rPr>
      </w:pPr>
    </w:p>
    <w:p w14:paraId="11212B7E" w14:textId="3FCCE5ED" w:rsidR="00DC4AFA" w:rsidRDefault="00FA1121" w:rsidP="00FA1121">
      <w:pPr>
        <w:rPr>
          <w:sz w:val="24"/>
          <w:szCs w:val="24"/>
        </w:rPr>
      </w:pPr>
      <w:r w:rsidRPr="00FA1121">
        <w:rPr>
          <w:b/>
          <w:bCs/>
          <w:sz w:val="24"/>
          <w:szCs w:val="24"/>
        </w:rPr>
        <w:t>Decreto 3039 de 2007</w:t>
      </w:r>
    </w:p>
    <w:p w14:paraId="6BDD573D" w14:textId="66CAE788" w:rsidR="00FA1121" w:rsidRPr="00FA1121" w:rsidRDefault="00FA1121" w:rsidP="00FA1121">
      <w:pPr>
        <w:rPr>
          <w:sz w:val="24"/>
          <w:szCs w:val="24"/>
        </w:rPr>
      </w:pPr>
      <w:r w:rsidRPr="00FA1121">
        <w:rPr>
          <w:sz w:val="24"/>
          <w:szCs w:val="24"/>
        </w:rPr>
        <w:t>"Por el cual se adopta el Plan Nacional de Salud Pública 2007-2010. Este decreto incluye las prioridades, objetivos, metas, estrategias y define la responsabilidades en salud pública".</w:t>
      </w:r>
    </w:p>
    <w:p w14:paraId="39B99BA0" w14:textId="77777777" w:rsidR="00FA1121" w:rsidRPr="00FA1121" w:rsidRDefault="00FA1121" w:rsidP="00FA1121">
      <w:pPr>
        <w:rPr>
          <w:sz w:val="24"/>
          <w:szCs w:val="24"/>
        </w:rPr>
      </w:pPr>
      <w:r w:rsidRPr="00FA1121">
        <w:rPr>
          <w:b/>
          <w:bCs/>
          <w:sz w:val="24"/>
          <w:szCs w:val="24"/>
        </w:rPr>
        <w:t>Decreto 2566 de 2009</w:t>
      </w:r>
    </w:p>
    <w:p w14:paraId="20942058" w14:textId="77777777" w:rsidR="00FA1121" w:rsidRPr="00FA1121" w:rsidRDefault="00FA1121" w:rsidP="00FA1121">
      <w:pPr>
        <w:rPr>
          <w:sz w:val="24"/>
          <w:szCs w:val="24"/>
        </w:rPr>
      </w:pPr>
      <w:r w:rsidRPr="00FA1121">
        <w:rPr>
          <w:sz w:val="24"/>
          <w:szCs w:val="24"/>
        </w:rPr>
        <w:t>“Por el cual se adopta la tabla de enfermedades profesionales, actualizado después por el Decreto 1477 de 2014 y 676 de 2020”.</w:t>
      </w:r>
    </w:p>
    <w:p w14:paraId="6DA993ED" w14:textId="77777777" w:rsidR="00FA1121" w:rsidRPr="00FA1121" w:rsidRDefault="00FA1121" w:rsidP="00FA1121">
      <w:pPr>
        <w:rPr>
          <w:sz w:val="24"/>
          <w:szCs w:val="24"/>
        </w:rPr>
      </w:pPr>
      <w:r w:rsidRPr="00FA1121">
        <w:rPr>
          <w:b/>
          <w:bCs/>
          <w:sz w:val="24"/>
          <w:szCs w:val="24"/>
        </w:rPr>
        <w:t>Decreto 1477 de 2014</w:t>
      </w:r>
    </w:p>
    <w:p w14:paraId="1D9CE1A3" w14:textId="77777777" w:rsidR="00FA1121" w:rsidRPr="00FA1121" w:rsidRDefault="00FA1121" w:rsidP="00FA1121">
      <w:pPr>
        <w:rPr>
          <w:sz w:val="24"/>
          <w:szCs w:val="24"/>
        </w:rPr>
      </w:pPr>
      <w:r w:rsidRPr="00FA1121">
        <w:rPr>
          <w:sz w:val="24"/>
          <w:szCs w:val="24"/>
        </w:rPr>
        <w:t>"Por el cual se expide la Tabla de Enfermedades Laborales".</w:t>
      </w:r>
    </w:p>
    <w:p w14:paraId="2688EB7B" w14:textId="77777777" w:rsidR="00FA1121" w:rsidRPr="00FA1121" w:rsidRDefault="00FA1121" w:rsidP="00FA1121">
      <w:pPr>
        <w:rPr>
          <w:sz w:val="24"/>
          <w:szCs w:val="24"/>
        </w:rPr>
      </w:pPr>
      <w:r w:rsidRPr="00FA1121">
        <w:rPr>
          <w:b/>
          <w:bCs/>
          <w:sz w:val="24"/>
          <w:szCs w:val="24"/>
        </w:rPr>
        <w:t>Decreto 351 de 2014</w:t>
      </w:r>
    </w:p>
    <w:p w14:paraId="6DBE892D" w14:textId="77777777" w:rsidR="00FA1121" w:rsidRPr="00FA1121" w:rsidRDefault="00FA1121" w:rsidP="00FA1121">
      <w:pPr>
        <w:rPr>
          <w:sz w:val="24"/>
          <w:szCs w:val="24"/>
        </w:rPr>
      </w:pPr>
      <w:r w:rsidRPr="00FA1121">
        <w:rPr>
          <w:sz w:val="24"/>
          <w:szCs w:val="24"/>
        </w:rPr>
        <w:t>“Por el cual se reglamenta la gestión integral de los residuos generados en atención a la salud y otras actividades”</w:t>
      </w:r>
    </w:p>
    <w:p w14:paraId="67C87D70" w14:textId="77777777" w:rsidR="00FA1121" w:rsidRPr="00FA1121" w:rsidRDefault="00FA1121" w:rsidP="00FA1121">
      <w:pPr>
        <w:rPr>
          <w:sz w:val="24"/>
          <w:szCs w:val="24"/>
        </w:rPr>
      </w:pPr>
      <w:r w:rsidRPr="00FA1121">
        <w:rPr>
          <w:b/>
          <w:bCs/>
          <w:sz w:val="24"/>
          <w:szCs w:val="24"/>
        </w:rPr>
        <w:t>Decreto 780 2016</w:t>
      </w:r>
    </w:p>
    <w:p w14:paraId="11812EF9" w14:textId="77777777" w:rsidR="00FA1121" w:rsidRPr="00FA1121" w:rsidRDefault="00FA1121" w:rsidP="00FA1121">
      <w:pPr>
        <w:rPr>
          <w:sz w:val="24"/>
          <w:szCs w:val="24"/>
        </w:rPr>
      </w:pPr>
      <w:r w:rsidRPr="00FA1121">
        <w:rPr>
          <w:sz w:val="24"/>
          <w:szCs w:val="24"/>
        </w:rPr>
        <w:t>"Por medio del cual se expide el Decreto Único Reglamentario del Sector Salud y Protección Social"</w:t>
      </w:r>
    </w:p>
    <w:p w14:paraId="23F3AE8C" w14:textId="77777777" w:rsidR="00FA1121" w:rsidRPr="00FA1121" w:rsidRDefault="00FA1121" w:rsidP="00FA1121">
      <w:pPr>
        <w:rPr>
          <w:sz w:val="24"/>
          <w:szCs w:val="24"/>
        </w:rPr>
      </w:pPr>
      <w:r w:rsidRPr="00FA1121">
        <w:rPr>
          <w:b/>
          <w:bCs/>
          <w:sz w:val="24"/>
          <w:szCs w:val="24"/>
        </w:rPr>
        <w:t>Decreto 676 de 2020</w:t>
      </w:r>
    </w:p>
    <w:p w14:paraId="567BEB27" w14:textId="77777777" w:rsidR="00FA1121" w:rsidRPr="00FA1121" w:rsidRDefault="00FA1121" w:rsidP="00FA1121">
      <w:pPr>
        <w:rPr>
          <w:sz w:val="24"/>
          <w:szCs w:val="24"/>
        </w:rPr>
      </w:pPr>
      <w:r w:rsidRPr="00FA1121">
        <w:rPr>
          <w:sz w:val="24"/>
          <w:szCs w:val="24"/>
        </w:rPr>
        <w:t>“Por el cual se incorpora una enfermedad directa a la tabla de enfermedades laborales y se dictan otras disposiciones. La principal modificación en este Decreto es la inclusión del COVID-19 en la tabla de enfermedades laborales”.</w:t>
      </w:r>
    </w:p>
    <w:p w14:paraId="71DFF672" w14:textId="77777777" w:rsidR="00FA1121" w:rsidRPr="00FA1121" w:rsidRDefault="00FA1121" w:rsidP="00FA1121">
      <w:pPr>
        <w:rPr>
          <w:sz w:val="24"/>
          <w:szCs w:val="24"/>
        </w:rPr>
      </w:pPr>
      <w:r w:rsidRPr="00FA1121">
        <w:rPr>
          <w:b/>
          <w:bCs/>
          <w:sz w:val="24"/>
          <w:szCs w:val="24"/>
        </w:rPr>
        <w:t>Resolución 2400 de 1979</w:t>
      </w:r>
    </w:p>
    <w:p w14:paraId="37FE63BB" w14:textId="77777777" w:rsidR="00FA1121" w:rsidRPr="00FA1121" w:rsidRDefault="00FA1121" w:rsidP="00FA1121">
      <w:pPr>
        <w:rPr>
          <w:sz w:val="24"/>
          <w:szCs w:val="24"/>
        </w:rPr>
      </w:pPr>
      <w:r w:rsidRPr="00FA1121">
        <w:rPr>
          <w:sz w:val="24"/>
          <w:szCs w:val="24"/>
        </w:rPr>
        <w:t>Se establecen las disposiciones sobre vivienda, higiene y seguridad en los establecimientos de trabajo</w:t>
      </w:r>
    </w:p>
    <w:p w14:paraId="3544E190" w14:textId="77777777" w:rsidR="00FA1121" w:rsidRPr="00FA1121" w:rsidRDefault="00FA1121" w:rsidP="00FA1121">
      <w:pPr>
        <w:rPr>
          <w:sz w:val="24"/>
          <w:szCs w:val="24"/>
        </w:rPr>
      </w:pPr>
      <w:r w:rsidRPr="00FA1121">
        <w:rPr>
          <w:b/>
          <w:bCs/>
          <w:sz w:val="24"/>
          <w:szCs w:val="24"/>
        </w:rPr>
        <w:t>Resolución 2183 de 2004</w:t>
      </w:r>
    </w:p>
    <w:p w14:paraId="2E8E28FB" w14:textId="77777777" w:rsidR="00FA1121" w:rsidRPr="00FA1121" w:rsidRDefault="00FA1121" w:rsidP="00FA1121">
      <w:pPr>
        <w:rPr>
          <w:sz w:val="24"/>
          <w:szCs w:val="24"/>
        </w:rPr>
      </w:pPr>
      <w:r w:rsidRPr="00FA1121">
        <w:rPr>
          <w:sz w:val="24"/>
          <w:szCs w:val="24"/>
        </w:rPr>
        <w:t>Manual de Buenas Prácticas de Esterilización para Prestadores de Servicios de Salud.</w:t>
      </w:r>
    </w:p>
    <w:p w14:paraId="1EC6EC98" w14:textId="77777777" w:rsidR="00FA1121" w:rsidRPr="00FA1121" w:rsidRDefault="00FA1121" w:rsidP="00FA1121">
      <w:pPr>
        <w:rPr>
          <w:sz w:val="24"/>
          <w:szCs w:val="24"/>
        </w:rPr>
      </w:pPr>
      <w:r w:rsidRPr="00FA1121">
        <w:rPr>
          <w:b/>
          <w:bCs/>
          <w:sz w:val="24"/>
          <w:szCs w:val="24"/>
        </w:rPr>
        <w:t>Resolución 156 de 2005 </w:t>
      </w:r>
    </w:p>
    <w:p w14:paraId="506F3AAA" w14:textId="19AA0EBB" w:rsidR="00FA1121" w:rsidRPr="00FA1121" w:rsidRDefault="00FA1121" w:rsidP="00FA1121">
      <w:pPr>
        <w:rPr>
          <w:sz w:val="24"/>
          <w:szCs w:val="24"/>
        </w:rPr>
      </w:pPr>
      <w:r w:rsidRPr="00FA1121">
        <w:rPr>
          <w:sz w:val="24"/>
          <w:szCs w:val="24"/>
        </w:rPr>
        <w:t xml:space="preserve">Por la cual se adoptan los formatos de informe </w:t>
      </w:r>
      <w:r w:rsidR="00DC4AFA" w:rsidRPr="00DC4AFA">
        <w:rPr>
          <w:sz w:val="24"/>
          <w:szCs w:val="24"/>
        </w:rPr>
        <w:t>de accidente</w:t>
      </w:r>
      <w:r w:rsidRPr="00FA1121">
        <w:rPr>
          <w:sz w:val="24"/>
          <w:szCs w:val="24"/>
        </w:rPr>
        <w:t xml:space="preserve"> de trabajo y de enfermedad profesional</w:t>
      </w:r>
    </w:p>
    <w:p w14:paraId="5AEAECDA" w14:textId="77777777" w:rsidR="00DC4AFA" w:rsidRDefault="00DC4AFA" w:rsidP="00FA1121">
      <w:pPr>
        <w:rPr>
          <w:b/>
          <w:bCs/>
          <w:sz w:val="24"/>
          <w:szCs w:val="24"/>
        </w:rPr>
      </w:pPr>
    </w:p>
    <w:p w14:paraId="727F2106" w14:textId="1222C4F7" w:rsidR="00DC4AFA" w:rsidRPr="00DC4AFA" w:rsidRDefault="00FA1121" w:rsidP="00FA1121">
      <w:pPr>
        <w:rPr>
          <w:sz w:val="24"/>
          <w:szCs w:val="24"/>
        </w:rPr>
      </w:pPr>
      <w:r w:rsidRPr="00FA1121">
        <w:rPr>
          <w:b/>
          <w:bCs/>
          <w:sz w:val="24"/>
          <w:szCs w:val="24"/>
        </w:rPr>
        <w:lastRenderedPageBreak/>
        <w:t>Resolución 2378 de 2008</w:t>
      </w:r>
    </w:p>
    <w:p w14:paraId="35E9D4D6" w14:textId="2D5A0BB0" w:rsidR="00FA1121" w:rsidRPr="00FA1121" w:rsidRDefault="00FA1121" w:rsidP="00FA1121">
      <w:pPr>
        <w:rPr>
          <w:sz w:val="24"/>
          <w:szCs w:val="24"/>
        </w:rPr>
      </w:pPr>
      <w:r w:rsidRPr="00FA1121">
        <w:rPr>
          <w:sz w:val="24"/>
          <w:szCs w:val="24"/>
        </w:rPr>
        <w:t>Por la cual se adoptan las Buenas Prácticas Clínicas para las instituciones que conducen investigación con medicamentos en seres humanos</w:t>
      </w:r>
    </w:p>
    <w:p w14:paraId="6696F7D2" w14:textId="77777777" w:rsidR="00FA1121" w:rsidRPr="00FA1121" w:rsidRDefault="00FA1121" w:rsidP="00FA1121">
      <w:pPr>
        <w:rPr>
          <w:sz w:val="24"/>
          <w:szCs w:val="24"/>
        </w:rPr>
      </w:pPr>
      <w:r w:rsidRPr="00FA1121">
        <w:rPr>
          <w:b/>
          <w:bCs/>
          <w:sz w:val="24"/>
          <w:szCs w:val="24"/>
        </w:rPr>
        <w:t>Resolución 1841 de 2013</w:t>
      </w:r>
    </w:p>
    <w:p w14:paraId="48AE2A93" w14:textId="77777777" w:rsidR="00FA1121" w:rsidRPr="00FA1121" w:rsidRDefault="00FA1121" w:rsidP="00FA1121">
      <w:pPr>
        <w:rPr>
          <w:sz w:val="24"/>
          <w:szCs w:val="24"/>
        </w:rPr>
      </w:pPr>
      <w:r w:rsidRPr="00FA1121">
        <w:rPr>
          <w:sz w:val="24"/>
          <w:szCs w:val="24"/>
        </w:rPr>
        <w:t>Por la cual se adopta el Plan Decenal de Salud Pública 2012 - 2021</w:t>
      </w:r>
    </w:p>
    <w:p w14:paraId="5CA429D5" w14:textId="77777777" w:rsidR="00FA1121" w:rsidRPr="00FA1121" w:rsidRDefault="00FA1121" w:rsidP="00FA1121">
      <w:pPr>
        <w:rPr>
          <w:sz w:val="24"/>
          <w:szCs w:val="24"/>
        </w:rPr>
      </w:pPr>
      <w:r w:rsidRPr="00FA1121">
        <w:rPr>
          <w:b/>
          <w:bCs/>
          <w:sz w:val="24"/>
          <w:szCs w:val="24"/>
        </w:rPr>
        <w:t>Resolución 839 de 2017</w:t>
      </w:r>
    </w:p>
    <w:p w14:paraId="20E5C7D1" w14:textId="77777777" w:rsidR="00FA1121" w:rsidRPr="00FA1121" w:rsidRDefault="00FA1121" w:rsidP="00FA1121">
      <w:pPr>
        <w:rPr>
          <w:sz w:val="24"/>
          <w:szCs w:val="24"/>
        </w:rPr>
      </w:pPr>
      <w:r w:rsidRPr="00FA1121">
        <w:rPr>
          <w:sz w:val="24"/>
          <w:szCs w:val="24"/>
        </w:rPr>
        <w:t>Establecer el manejo, custodia, tiempo de retención, conservación y disposición final de los expedientes de las historias clínica</w:t>
      </w:r>
    </w:p>
    <w:p w14:paraId="2A2F64EF" w14:textId="77777777" w:rsidR="00FA1121" w:rsidRPr="00FA1121" w:rsidRDefault="00FA1121" w:rsidP="00FA1121">
      <w:pPr>
        <w:rPr>
          <w:sz w:val="24"/>
          <w:szCs w:val="24"/>
        </w:rPr>
      </w:pPr>
      <w:r w:rsidRPr="00FA1121">
        <w:rPr>
          <w:b/>
          <w:bCs/>
          <w:sz w:val="24"/>
          <w:szCs w:val="24"/>
        </w:rPr>
        <w:t>NTC 5254 2006</w:t>
      </w:r>
    </w:p>
    <w:p w14:paraId="773FEDA7" w14:textId="77777777" w:rsidR="00FA1121" w:rsidRDefault="00FA1121" w:rsidP="00FA1121">
      <w:pPr>
        <w:rPr>
          <w:sz w:val="24"/>
          <w:szCs w:val="24"/>
        </w:rPr>
      </w:pPr>
      <w:r w:rsidRPr="00FA1121">
        <w:rPr>
          <w:sz w:val="24"/>
          <w:szCs w:val="24"/>
        </w:rPr>
        <w:t>Guía para el establecimiento e implementación del proceso de administración de riesgos involucrando el establecimiento del contexto y la identificación, análisis, evaluación, tratamiento, comunicación y el monitoreo en curso de los riesgos</w:t>
      </w:r>
    </w:p>
    <w:p w14:paraId="06F7D37E" w14:textId="77777777" w:rsidR="00DC4AFA" w:rsidRPr="00DC4AFA" w:rsidRDefault="00DC4AFA" w:rsidP="00DC4AFA">
      <w:pPr>
        <w:rPr>
          <w:b/>
          <w:bCs/>
          <w:sz w:val="24"/>
          <w:szCs w:val="24"/>
        </w:rPr>
      </w:pPr>
      <w:r w:rsidRPr="00DC4AFA">
        <w:rPr>
          <w:b/>
          <w:bCs/>
          <w:sz w:val="24"/>
          <w:szCs w:val="24"/>
        </w:rPr>
        <w:t>GTC 45 de 2012</w:t>
      </w:r>
    </w:p>
    <w:p w14:paraId="26626A37" w14:textId="696947E4" w:rsidR="00DC4AFA" w:rsidRDefault="00DC4AFA" w:rsidP="00DC4AFA">
      <w:pPr>
        <w:rPr>
          <w:sz w:val="24"/>
          <w:szCs w:val="24"/>
        </w:rPr>
      </w:pPr>
      <w:r w:rsidRPr="00DC4AFA">
        <w:rPr>
          <w:sz w:val="24"/>
          <w:szCs w:val="24"/>
        </w:rPr>
        <w:t>Guía para la identificación de los peligros y la valoración de los riesgos en seguridad y salud ocupacional.</w:t>
      </w:r>
    </w:p>
    <w:p w14:paraId="0253F190" w14:textId="54EC64EE" w:rsidR="00DC4AFA" w:rsidRPr="00FA1121" w:rsidRDefault="00DC4AFA" w:rsidP="00DC4AFA">
      <w:pPr>
        <w:rPr>
          <w:sz w:val="24"/>
          <w:szCs w:val="24"/>
        </w:rPr>
      </w:pPr>
      <w:r w:rsidRPr="00DC4AFA">
        <w:rPr>
          <w:rFonts w:ascii="Arial" w:eastAsia="Calibri" w:hAnsi="Arial" w:cs="Arial"/>
          <w:noProof/>
          <w:color w:val="545454"/>
          <w:kern w:val="0"/>
          <w:sz w:val="26"/>
          <w:szCs w:val="26"/>
          <w14:ligatures w14:val="none"/>
        </w:rPr>
        <w:drawing>
          <wp:inline distT="0" distB="0" distL="0" distR="0" wp14:anchorId="0BE8F334" wp14:editId="3C21FD09">
            <wp:extent cx="5612130" cy="3963670"/>
            <wp:effectExtent l="0" t="0" r="762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4278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62AA0" w14:textId="77777777" w:rsidR="00FA1121" w:rsidRPr="00DC4AFA" w:rsidRDefault="00FA1121">
      <w:pPr>
        <w:rPr>
          <w:sz w:val="24"/>
          <w:szCs w:val="24"/>
        </w:rPr>
      </w:pPr>
    </w:p>
    <w:sectPr w:rsidR="00FA1121" w:rsidRPr="00DC4A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21"/>
    <w:rsid w:val="00485CF1"/>
    <w:rsid w:val="007014C8"/>
    <w:rsid w:val="00DC4AFA"/>
    <w:rsid w:val="00FA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958D"/>
  <w15:chartTrackingRefBased/>
  <w15:docId w15:val="{F4CCCC5D-3A0A-4E96-B51F-D95E153E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Barrientos</dc:creator>
  <cp:keywords/>
  <dc:description/>
  <cp:lastModifiedBy>Julian Barrientos</cp:lastModifiedBy>
  <cp:revision>1</cp:revision>
  <dcterms:created xsi:type="dcterms:W3CDTF">2023-05-13T06:46:00Z</dcterms:created>
  <dcterms:modified xsi:type="dcterms:W3CDTF">2023-05-13T07:01:00Z</dcterms:modified>
</cp:coreProperties>
</file>